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D7" w:rsidRDefault="001B42FF">
      <w:bookmarkStart w:id="0" w:name="_GoBack"/>
      <w:bookmarkEnd w:id="0"/>
      <w:r>
        <w:t>全國中、小學學生游泳能力基本指標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0"/>
        <w:tblW w:w="12369" w:type="dxa"/>
        <w:tblInd w:w="0" w:type="dxa"/>
        <w:tblCellMar>
          <w:top w:w="41" w:type="dxa"/>
          <w:left w:w="28" w:type="dxa"/>
        </w:tblCellMar>
        <w:tblLook w:val="04A0" w:firstRow="1" w:lastRow="0" w:firstColumn="1" w:lastColumn="0" w:noHBand="0" w:noVBand="1"/>
      </w:tblPr>
      <w:tblGrid>
        <w:gridCol w:w="1055"/>
        <w:gridCol w:w="3943"/>
        <w:gridCol w:w="7371"/>
      </w:tblGrid>
      <w:tr w:rsidR="009C5212" w:rsidTr="009C5212">
        <w:trPr>
          <w:trHeight w:val="662"/>
        </w:trPr>
        <w:tc>
          <w:tcPr>
            <w:tcW w:w="10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  <w:vAlign w:val="center"/>
          </w:tcPr>
          <w:p w:rsidR="009C5212" w:rsidRDefault="009C5212" w:rsidP="009C5212">
            <w:pPr>
              <w:ind w:left="255" w:right="0"/>
              <w:jc w:val="left"/>
            </w:pPr>
            <w:r>
              <w:rPr>
                <w:sz w:val="24"/>
              </w:rPr>
              <w:t xml:space="preserve">級數 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  <w:vAlign w:val="center"/>
          </w:tcPr>
          <w:p w:rsidR="009C5212" w:rsidRDefault="009C5212" w:rsidP="009C5212">
            <w:pPr>
              <w:ind w:right="29"/>
              <w:jc w:val="center"/>
            </w:pPr>
            <w:r>
              <w:rPr>
                <w:sz w:val="24"/>
              </w:rPr>
              <w:t xml:space="preserve">指標內容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:rsidR="009C5212" w:rsidRDefault="009C5212" w:rsidP="009C5212">
            <w:pPr>
              <w:ind w:right="26"/>
              <w:jc w:val="center"/>
            </w:pPr>
            <w:r>
              <w:rPr>
                <w:sz w:val="24"/>
              </w:rPr>
              <w:t xml:space="preserve">說明 </w:t>
            </w:r>
          </w:p>
          <w:p w:rsidR="009C5212" w:rsidRDefault="009C5212" w:rsidP="009C5212">
            <w:pPr>
              <w:ind w:right="24"/>
              <w:jc w:val="center"/>
            </w:pPr>
            <w:r>
              <w:rPr>
                <w:sz w:val="24"/>
              </w:rPr>
              <w:t xml:space="preserve">（名詞定義與檢測標準） </w:t>
            </w:r>
          </w:p>
        </w:tc>
      </w:tr>
      <w:tr w:rsidR="009C5212" w:rsidTr="009C5212">
        <w:trPr>
          <w:trHeight w:val="388"/>
        </w:trPr>
        <w:tc>
          <w:tcPr>
            <w:tcW w:w="105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left="135" w:right="0"/>
              <w:jc w:val="both"/>
            </w:pPr>
            <w:r>
              <w:rPr>
                <w:sz w:val="24"/>
              </w:rPr>
              <w:t>第一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海馬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水中閉氣拾物3次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頭部應完全沒入水中。 </w:t>
            </w:r>
          </w:p>
        </w:tc>
      </w:tr>
      <w:tr w:rsidR="009C5212" w:rsidTr="009C5212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9C5212" w:rsidRDefault="009C5212" w:rsidP="009C5212">
            <w:pPr>
              <w:spacing w:after="160"/>
              <w:ind w:right="0"/>
              <w:jc w:val="left"/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連續韻律呼吸10次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26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9C5212" w:rsidTr="009C5212">
        <w:trPr>
          <w:trHeight w:val="388"/>
        </w:trPr>
        <w:tc>
          <w:tcPr>
            <w:tcW w:w="105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left="135" w:right="0"/>
              <w:jc w:val="both"/>
            </w:pPr>
            <w:r>
              <w:rPr>
                <w:sz w:val="24"/>
              </w:rPr>
              <w:t>第二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水獺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蹬牆漂浮3公尺以上後站立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蹬牆後身體呈水平漂浮狀，身體穩定站立。 </w:t>
            </w:r>
          </w:p>
        </w:tc>
      </w:tr>
      <w:tr w:rsidR="009C5212" w:rsidTr="009C5212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9C5212" w:rsidRDefault="009C5212" w:rsidP="009C5212">
            <w:pPr>
              <w:spacing w:after="160"/>
              <w:ind w:right="0"/>
              <w:jc w:val="left"/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打水前進8公尺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結合蹬牆與打水共8公尺。 </w:t>
            </w:r>
          </w:p>
        </w:tc>
      </w:tr>
      <w:tr w:rsidR="009C5212" w:rsidTr="009C5212">
        <w:trPr>
          <w:trHeight w:val="707"/>
        </w:trPr>
        <w:tc>
          <w:tcPr>
            <w:tcW w:w="10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left="135" w:right="0"/>
              <w:jc w:val="both"/>
            </w:pPr>
            <w:r>
              <w:rPr>
                <w:sz w:val="24"/>
              </w:rPr>
              <w:t>第三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海龜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游泳前進15公尺 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仰、蛙、蝶、捷或其他泳姿測驗，換氣3次 （含） 以上。 </w:t>
            </w:r>
          </w:p>
        </w:tc>
      </w:tr>
      <w:tr w:rsidR="009C5212" w:rsidTr="009C5212">
        <w:trPr>
          <w:trHeight w:val="707"/>
        </w:trPr>
        <w:tc>
          <w:tcPr>
            <w:tcW w:w="10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C5212" w:rsidRDefault="009C5212" w:rsidP="007942A0">
            <w:pPr>
              <w:ind w:left="135" w:right="0"/>
              <w:jc w:val="both"/>
            </w:pPr>
            <w:r>
              <w:rPr>
                <w:sz w:val="24"/>
              </w:rPr>
              <w:t>第四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海豚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游泳前進25公尺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仰、蛙、蝶、捷或其他泳姿測驗，換氣5次 （含） 以上。 </w:t>
            </w:r>
          </w:p>
        </w:tc>
      </w:tr>
      <w:tr w:rsidR="009C5212" w:rsidTr="009C5212">
        <w:trPr>
          <w:trHeight w:val="652"/>
        </w:trPr>
        <w:tc>
          <w:tcPr>
            <w:tcW w:w="10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C5212" w:rsidRDefault="009C5212" w:rsidP="007942A0">
            <w:pPr>
              <w:ind w:left="135" w:right="0"/>
              <w:jc w:val="both"/>
            </w:pPr>
            <w:r>
              <w:rPr>
                <w:sz w:val="24"/>
              </w:rPr>
              <w:t>第五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旗魚</w:t>
            </w:r>
          </w:p>
        </w:tc>
        <w:tc>
          <w:tcPr>
            <w:tcW w:w="394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9C5212" w:rsidRDefault="009C5212" w:rsidP="009C5212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游泳前進50公尺 （含轉身） </w:t>
            </w:r>
          </w:p>
        </w:tc>
        <w:tc>
          <w:tcPr>
            <w:tcW w:w="7371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C5212" w:rsidRDefault="009C5212" w:rsidP="009C5212">
            <w:pPr>
              <w:ind w:right="0"/>
              <w:jc w:val="left"/>
            </w:pPr>
            <w:r>
              <w:rPr>
                <w:sz w:val="24"/>
              </w:rPr>
              <w:t xml:space="preserve">仰、蛙、蝶、捷式或其他泳姿測驗。游泳轉身，需連續動作雙腳不著地。 </w:t>
            </w:r>
          </w:p>
        </w:tc>
      </w:tr>
    </w:tbl>
    <w:p w:rsidR="00BB27D7" w:rsidRDefault="001B42FF">
      <w:pPr>
        <w:ind w:left="792" w:right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27D7" w:rsidRDefault="001B42FF">
      <w:pPr>
        <w:ind w:right="0"/>
        <w:jc w:val="left"/>
        <w:rPr>
          <w:sz w:val="24"/>
        </w:rPr>
      </w:pPr>
      <w:r>
        <w:rPr>
          <w:sz w:val="24"/>
        </w:rPr>
        <w:t xml:space="preserve"> </w:t>
      </w: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4516CF" w:rsidRDefault="004516CF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113A53" w:rsidRDefault="00113A53">
      <w:pPr>
        <w:ind w:right="0"/>
        <w:jc w:val="left"/>
        <w:rPr>
          <w:rFonts w:hint="eastAsia"/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85"/>
        <w:gridCol w:w="9"/>
        <w:gridCol w:w="11340"/>
      </w:tblGrid>
      <w:tr w:rsidR="00113A53" w:rsidTr="00841B42"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53" w:rsidRPr="00113A53" w:rsidRDefault="00113A53" w:rsidP="00113A53">
            <w:pPr>
              <w:spacing w:line="240" w:lineRule="auto"/>
              <w:ind w:right="0"/>
              <w:jc w:val="center"/>
            </w:pPr>
          </w:p>
        </w:tc>
        <w:tc>
          <w:tcPr>
            <w:tcW w:w="1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A53" w:rsidRDefault="00113A53" w:rsidP="00113A53">
            <w:pPr>
              <w:spacing w:line="240" w:lineRule="auto"/>
              <w:ind w:right="0"/>
              <w:jc w:val="center"/>
            </w:pPr>
            <w:r w:rsidRPr="00113A53">
              <w:rPr>
                <w:b/>
                <w:shd w:val="pct15" w:color="auto" w:fill="FFFFFF"/>
              </w:rPr>
              <w:t>游泳</w:t>
            </w:r>
            <w:r w:rsidR="001F5792">
              <w:rPr>
                <w:rFonts w:hint="eastAsia"/>
                <w:b/>
                <w:shd w:val="pct15" w:color="auto" w:fill="FFFFFF"/>
              </w:rPr>
              <w:t>及自救</w:t>
            </w:r>
            <w:r>
              <w:t>能力基本指標</w:t>
            </w:r>
            <w:r>
              <w:rPr>
                <w:rFonts w:hint="eastAsia"/>
                <w:b/>
                <w:shd w:val="pct15" w:color="auto" w:fill="FFFFFF"/>
              </w:rPr>
              <w:t xml:space="preserve"> 說明影片連結</w:t>
            </w:r>
          </w:p>
        </w:tc>
      </w:tr>
      <w:tr w:rsidR="00113A53" w:rsidTr="00BA23EC">
        <w:trPr>
          <w:trHeight w:val="392"/>
        </w:trPr>
        <w:tc>
          <w:tcPr>
            <w:tcW w:w="2694" w:type="dxa"/>
            <w:gridSpan w:val="2"/>
          </w:tcPr>
          <w:p w:rsidR="00113A53" w:rsidRDefault="00113A53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第一</w:t>
            </w:r>
            <w:r w:rsidRPr="007942A0">
              <w:rPr>
                <w:sz w:val="24"/>
              </w:rPr>
              <w:t>級</w:t>
            </w:r>
          </w:p>
        </w:tc>
        <w:tc>
          <w:tcPr>
            <w:tcW w:w="11340" w:type="dxa"/>
          </w:tcPr>
          <w:p w:rsidR="00113A53" w:rsidRDefault="00BA23EC">
            <w:pPr>
              <w:ind w:right="0"/>
              <w:jc w:val="left"/>
              <w:rPr>
                <w:rFonts w:hint="eastAsia"/>
                <w:sz w:val="24"/>
              </w:rPr>
            </w:pPr>
            <w:hyperlink r:id="rId6" w:history="1">
              <w:r w:rsidR="009C114E" w:rsidRPr="00BA23EC">
                <w:rPr>
                  <w:rStyle w:val="a8"/>
                  <w:sz w:val="24"/>
                </w:rPr>
                <w:t>https://www.youtube.com/watch?v=frj4rXrEzng&amp;list=PLlQfBnj2kYSordJXjZk8tHAid1qJ-W6EY</w:t>
              </w:r>
            </w:hyperlink>
          </w:p>
        </w:tc>
      </w:tr>
      <w:tr w:rsidR="00113A53" w:rsidTr="00BA23EC">
        <w:trPr>
          <w:trHeight w:val="392"/>
        </w:trPr>
        <w:tc>
          <w:tcPr>
            <w:tcW w:w="2694" w:type="dxa"/>
            <w:gridSpan w:val="2"/>
          </w:tcPr>
          <w:p w:rsidR="00113A53" w:rsidRDefault="00113A53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第二</w:t>
            </w:r>
            <w:r w:rsidRPr="007942A0">
              <w:rPr>
                <w:sz w:val="24"/>
              </w:rPr>
              <w:t>級</w:t>
            </w:r>
          </w:p>
        </w:tc>
        <w:tc>
          <w:tcPr>
            <w:tcW w:w="11340" w:type="dxa"/>
          </w:tcPr>
          <w:p w:rsidR="00113A53" w:rsidRDefault="00BA23EC">
            <w:pPr>
              <w:ind w:right="0"/>
              <w:jc w:val="left"/>
              <w:rPr>
                <w:sz w:val="24"/>
              </w:rPr>
            </w:pPr>
            <w:hyperlink r:id="rId7" w:history="1">
              <w:r w:rsidR="009C114E" w:rsidRPr="00BA23EC">
                <w:rPr>
                  <w:rStyle w:val="a8"/>
                  <w:sz w:val="24"/>
                </w:rPr>
                <w:t>https://www.youtube.com/watch?v=G5PEA8tTmWE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113A53" w:rsidTr="00BA23EC">
        <w:trPr>
          <w:trHeight w:val="392"/>
        </w:trPr>
        <w:tc>
          <w:tcPr>
            <w:tcW w:w="2694" w:type="dxa"/>
            <w:gridSpan w:val="2"/>
          </w:tcPr>
          <w:p w:rsidR="00113A53" w:rsidRDefault="00113A53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第三</w:t>
            </w:r>
            <w:r w:rsidRPr="007942A0">
              <w:rPr>
                <w:sz w:val="24"/>
              </w:rPr>
              <w:t>級</w:t>
            </w:r>
          </w:p>
        </w:tc>
        <w:tc>
          <w:tcPr>
            <w:tcW w:w="11340" w:type="dxa"/>
          </w:tcPr>
          <w:p w:rsidR="00113A53" w:rsidRDefault="008E7B2E">
            <w:pPr>
              <w:ind w:right="0"/>
              <w:jc w:val="left"/>
              <w:rPr>
                <w:sz w:val="24"/>
              </w:rPr>
            </w:pPr>
            <w:hyperlink r:id="rId8" w:history="1">
              <w:r w:rsidR="00304A5B" w:rsidRPr="008E7B2E">
                <w:rPr>
                  <w:rStyle w:val="a8"/>
                  <w:sz w:val="24"/>
                </w:rPr>
                <w:t>https://www.youtube.com/watch?v=dvfogNEoJUc&amp;list=PLlQfBnj2kYSordJXjZk8tHAid1qJ-W6EY&amp;index=3</w:t>
              </w:r>
            </w:hyperlink>
          </w:p>
        </w:tc>
      </w:tr>
      <w:tr w:rsidR="00113A53" w:rsidTr="00BA23EC">
        <w:trPr>
          <w:trHeight w:val="392"/>
        </w:trPr>
        <w:tc>
          <w:tcPr>
            <w:tcW w:w="2694" w:type="dxa"/>
            <w:gridSpan w:val="2"/>
          </w:tcPr>
          <w:p w:rsidR="00113A53" w:rsidRDefault="00113A53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第四</w:t>
            </w:r>
            <w:r w:rsidRPr="007942A0">
              <w:rPr>
                <w:sz w:val="24"/>
              </w:rPr>
              <w:t>級</w:t>
            </w:r>
          </w:p>
        </w:tc>
        <w:tc>
          <w:tcPr>
            <w:tcW w:w="11340" w:type="dxa"/>
          </w:tcPr>
          <w:p w:rsidR="00113A53" w:rsidRDefault="008E7B2E">
            <w:pPr>
              <w:ind w:right="0"/>
              <w:jc w:val="left"/>
              <w:rPr>
                <w:sz w:val="24"/>
              </w:rPr>
            </w:pPr>
            <w:hyperlink r:id="rId9" w:history="1">
              <w:r w:rsidR="00304A5B" w:rsidRPr="008E7B2E">
                <w:rPr>
                  <w:rStyle w:val="a8"/>
                  <w:sz w:val="24"/>
                </w:rPr>
                <w:t>https://www.youtube.com/watch?v=MtLrXKA_eSk&amp;list=PLlQfBnj2kYSordJXjZk8tHAid1qJ-W6EY&amp;index=4</w:t>
              </w:r>
            </w:hyperlink>
          </w:p>
        </w:tc>
      </w:tr>
      <w:tr w:rsidR="00113A53" w:rsidTr="00BA23EC">
        <w:trPr>
          <w:trHeight w:val="392"/>
        </w:trPr>
        <w:tc>
          <w:tcPr>
            <w:tcW w:w="2694" w:type="dxa"/>
            <w:gridSpan w:val="2"/>
          </w:tcPr>
          <w:p w:rsidR="00113A53" w:rsidRDefault="00113A53">
            <w:pPr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第五</w:t>
            </w:r>
            <w:r w:rsidRPr="007942A0">
              <w:rPr>
                <w:sz w:val="24"/>
              </w:rPr>
              <w:t>級</w:t>
            </w:r>
          </w:p>
        </w:tc>
        <w:tc>
          <w:tcPr>
            <w:tcW w:w="11340" w:type="dxa"/>
          </w:tcPr>
          <w:p w:rsidR="00113A53" w:rsidRDefault="008E7B2E">
            <w:pPr>
              <w:ind w:right="0"/>
              <w:jc w:val="left"/>
              <w:rPr>
                <w:sz w:val="24"/>
              </w:rPr>
            </w:pPr>
            <w:hyperlink r:id="rId10" w:history="1">
              <w:r w:rsidR="00304A5B" w:rsidRPr="008E7B2E">
                <w:rPr>
                  <w:rStyle w:val="a8"/>
                  <w:sz w:val="24"/>
                </w:rPr>
                <w:t>https://www.youtube.com/watch?v=ADqMxcZTwxA&amp;list=PLlQfBnj2kYSordJXjZk8tHAid1qJ-W6EY&amp;index=5</w:t>
              </w:r>
            </w:hyperlink>
          </w:p>
        </w:tc>
      </w:tr>
    </w:tbl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9C5212" w:rsidRDefault="009C5212">
      <w:pPr>
        <w:ind w:right="0"/>
        <w:jc w:val="left"/>
        <w:rPr>
          <w:sz w:val="24"/>
        </w:rPr>
      </w:pPr>
    </w:p>
    <w:p w:rsidR="004516CF" w:rsidRDefault="001B42FF" w:rsidP="004516CF">
      <w:r>
        <w:t>全國中、小學學生</w:t>
      </w:r>
      <w:r w:rsidR="004516CF">
        <w:t>自救能力基本指標</w:t>
      </w:r>
      <w:r w:rsidR="004516CF">
        <w:rPr>
          <w:rFonts w:ascii="Times New Roman" w:eastAsia="Times New Roman" w:hAnsi="Times New Roman" w:cs="Times New Roman"/>
          <w:b/>
        </w:rPr>
        <w:t xml:space="preserve"> </w:t>
      </w:r>
    </w:p>
    <w:p w:rsidR="004516CF" w:rsidRDefault="004516CF" w:rsidP="004516CF">
      <w:pPr>
        <w:ind w:left="792" w:right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2275" w:type="dxa"/>
        <w:tblInd w:w="1531" w:type="dxa"/>
        <w:tblCellMar>
          <w:top w:w="41" w:type="dxa"/>
          <w:left w:w="28" w:type="dxa"/>
        </w:tblCellMar>
        <w:tblLook w:val="04A0" w:firstRow="1" w:lastRow="0" w:firstColumn="1" w:lastColumn="0" w:noHBand="0" w:noVBand="1"/>
      </w:tblPr>
      <w:tblGrid>
        <w:gridCol w:w="1084"/>
        <w:gridCol w:w="4045"/>
        <w:gridCol w:w="7146"/>
      </w:tblGrid>
      <w:tr w:rsidR="00CA3EFA" w:rsidTr="009C5212">
        <w:trPr>
          <w:trHeight w:val="662"/>
        </w:trPr>
        <w:tc>
          <w:tcPr>
            <w:tcW w:w="10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  <w:vAlign w:val="center"/>
          </w:tcPr>
          <w:p w:rsidR="00CA3EFA" w:rsidRDefault="00CA3EFA" w:rsidP="0011725A">
            <w:pPr>
              <w:ind w:left="255" w:right="0"/>
              <w:jc w:val="left"/>
            </w:pPr>
            <w:r>
              <w:rPr>
                <w:sz w:val="24"/>
              </w:rPr>
              <w:t xml:space="preserve">級數 </w:t>
            </w:r>
          </w:p>
        </w:tc>
        <w:tc>
          <w:tcPr>
            <w:tcW w:w="404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  <w:vAlign w:val="center"/>
          </w:tcPr>
          <w:p w:rsidR="00CA3EFA" w:rsidRDefault="00CA3EFA" w:rsidP="0011725A">
            <w:pPr>
              <w:ind w:right="29"/>
              <w:jc w:val="center"/>
            </w:pPr>
            <w:r>
              <w:rPr>
                <w:sz w:val="24"/>
              </w:rPr>
              <w:t xml:space="preserve">指標內容 </w:t>
            </w:r>
          </w:p>
        </w:tc>
        <w:tc>
          <w:tcPr>
            <w:tcW w:w="714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:rsidR="00CA3EFA" w:rsidRDefault="00CA3EFA" w:rsidP="0011725A">
            <w:pPr>
              <w:ind w:right="26"/>
              <w:jc w:val="center"/>
            </w:pPr>
            <w:r>
              <w:rPr>
                <w:sz w:val="24"/>
              </w:rPr>
              <w:t xml:space="preserve">說明 </w:t>
            </w:r>
          </w:p>
          <w:p w:rsidR="00CA3EFA" w:rsidRDefault="00CA3EFA" w:rsidP="0011725A">
            <w:pPr>
              <w:ind w:right="24"/>
              <w:jc w:val="center"/>
            </w:pPr>
            <w:r>
              <w:rPr>
                <w:sz w:val="24"/>
              </w:rPr>
              <w:t xml:space="preserve">（名詞定義與檢測標準） </w:t>
            </w:r>
          </w:p>
        </w:tc>
      </w:tr>
      <w:tr w:rsidR="007D3CC6" w:rsidTr="009C5212">
        <w:trPr>
          <w:trHeight w:val="961"/>
        </w:trPr>
        <w:tc>
          <w:tcPr>
            <w:tcW w:w="10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left="135" w:right="0"/>
              <w:jc w:val="both"/>
            </w:pPr>
            <w:r>
              <w:rPr>
                <w:sz w:val="24"/>
              </w:rPr>
              <w:t>第一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海馬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藉物漂浮30秒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right="0"/>
              <w:jc w:val="both"/>
            </w:pPr>
            <w:r>
              <w:rPr>
                <w:sz w:val="24"/>
              </w:rPr>
              <w:t xml:space="preserve">藉助浮板、浮球或救生圈等任何漂浮物品，漂浮水面腳不落地。 </w:t>
            </w:r>
          </w:p>
        </w:tc>
      </w:tr>
      <w:tr w:rsidR="007D3CC6" w:rsidTr="009C5212">
        <w:trPr>
          <w:trHeight w:val="707"/>
        </w:trPr>
        <w:tc>
          <w:tcPr>
            <w:tcW w:w="1084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7942A0" w:rsidRDefault="007D3CC6" w:rsidP="007942A0">
            <w:pPr>
              <w:spacing w:after="160"/>
              <w:ind w:right="240"/>
              <w:rPr>
                <w:sz w:val="24"/>
              </w:rPr>
            </w:pPr>
            <w:r>
              <w:rPr>
                <w:sz w:val="24"/>
              </w:rPr>
              <w:t>第二</w:t>
            </w:r>
            <w:r w:rsidR="007942A0" w:rsidRPr="007942A0">
              <w:rPr>
                <w:sz w:val="24"/>
              </w:rPr>
              <w:t>級</w:t>
            </w:r>
          </w:p>
          <w:p w:rsidR="007D3CC6" w:rsidRDefault="007D3CC6" w:rsidP="007942A0">
            <w:pPr>
              <w:spacing w:after="160"/>
              <w:ind w:right="0"/>
              <w:jc w:val="left"/>
            </w:pP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水獺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水母漂 （閉氣） 10秒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right="26"/>
              <w:jc w:val="both"/>
            </w:pPr>
          </w:p>
        </w:tc>
      </w:tr>
      <w:tr w:rsidR="007D3CC6" w:rsidTr="009C5212">
        <w:trPr>
          <w:trHeight w:val="372"/>
        </w:trPr>
        <w:tc>
          <w:tcPr>
            <w:tcW w:w="108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942A0">
            <w:pPr>
              <w:ind w:left="135" w:right="0"/>
              <w:jc w:val="both"/>
            </w:pPr>
            <w:r>
              <w:rPr>
                <w:sz w:val="24"/>
              </w:rPr>
              <w:t>第三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海龜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水母漂30秒 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換氣1至2次。 </w:t>
            </w:r>
          </w:p>
        </w:tc>
      </w:tr>
      <w:tr w:rsidR="007D3CC6" w:rsidTr="009C5212">
        <w:trPr>
          <w:trHeight w:val="370"/>
        </w:trPr>
        <w:tc>
          <w:tcPr>
            <w:tcW w:w="1084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7D3CC6" w:rsidRDefault="007D3CC6" w:rsidP="007D3CC6">
            <w:pPr>
              <w:spacing w:after="160"/>
              <w:ind w:right="0"/>
              <w:jc w:val="left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仰漂或立泳15秒 （含） 以上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仰漂（可助划），口、鼻應露出水面；立泳，頭部應露出水面。 </w:t>
            </w:r>
          </w:p>
        </w:tc>
      </w:tr>
      <w:tr w:rsidR="007D3CC6" w:rsidTr="009C5212">
        <w:trPr>
          <w:trHeight w:val="748"/>
        </w:trPr>
        <w:tc>
          <w:tcPr>
            <w:tcW w:w="10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942A0">
            <w:pPr>
              <w:ind w:left="135" w:right="0"/>
              <w:jc w:val="both"/>
            </w:pPr>
            <w:r>
              <w:rPr>
                <w:sz w:val="24"/>
              </w:rPr>
              <w:t>第四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海豚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著衣仰漂或立泳 30 秒後游泳前進 10 公尺以上上岸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4" w:space="0" w:color="auto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穿著長衣褲 （可不含鞋） 。 </w:t>
            </w:r>
          </w:p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仰漂（可助划），口、鼻應露出水面；立泳，頭部應露出水面。 </w:t>
            </w:r>
          </w:p>
        </w:tc>
      </w:tr>
      <w:tr w:rsidR="007D3CC6" w:rsidTr="009C5212">
        <w:trPr>
          <w:trHeight w:val="946"/>
        </w:trPr>
        <w:tc>
          <w:tcPr>
            <w:tcW w:w="108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D3CC6" w:rsidRDefault="007D3CC6" w:rsidP="007942A0">
            <w:pPr>
              <w:ind w:left="135" w:right="0"/>
              <w:jc w:val="both"/>
            </w:pPr>
            <w:r>
              <w:rPr>
                <w:sz w:val="24"/>
              </w:rPr>
              <w:t>第五</w:t>
            </w:r>
            <w:r w:rsidR="007942A0" w:rsidRPr="007942A0">
              <w:rPr>
                <w:sz w:val="24"/>
              </w:rPr>
              <w:t>級</w:t>
            </w:r>
            <w:r>
              <w:rPr>
                <w:rFonts w:hint="eastAsia"/>
                <w:sz w:val="24"/>
              </w:rPr>
              <w:t>〜</w:t>
            </w:r>
            <w:r w:rsidRPr="004516CF">
              <w:rPr>
                <w:rFonts w:hint="eastAsia"/>
                <w:sz w:val="24"/>
                <w:shd w:val="pct15" w:color="auto" w:fill="FFFFFF"/>
              </w:rPr>
              <w:t>旗魚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7D3CC6" w:rsidRDefault="007D3CC6" w:rsidP="007D3CC6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>
              <w:rPr>
                <w:sz w:val="24"/>
              </w:rPr>
              <w:t xml:space="preserve">著衣仰漂或立泳 60 秒後脫除衣褲游泳前進 10 公尺以上上岸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穿著長衣褲 （可不含鞋） 。 </w:t>
            </w:r>
          </w:p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操作過程不得觸碰池底。 </w:t>
            </w:r>
          </w:p>
          <w:p w:rsidR="007D3CC6" w:rsidRDefault="007D3CC6" w:rsidP="007D3CC6">
            <w:pPr>
              <w:ind w:right="0"/>
              <w:jc w:val="left"/>
            </w:pPr>
            <w:r>
              <w:rPr>
                <w:sz w:val="24"/>
              </w:rPr>
              <w:t xml:space="preserve">仰漂（可助划），口、鼻應露出水面；立泳，頭部應露出水面。 </w:t>
            </w:r>
          </w:p>
        </w:tc>
      </w:tr>
      <w:tr w:rsidR="00CA3EFA" w:rsidTr="009C5212">
        <w:trPr>
          <w:trHeight w:val="382"/>
        </w:trPr>
        <w:tc>
          <w:tcPr>
            <w:tcW w:w="108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A3EFA" w:rsidRDefault="00CA3EFA" w:rsidP="000A3BEB">
            <w:pPr>
              <w:spacing w:after="160"/>
              <w:ind w:right="0"/>
              <w:jc w:val="left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A3EFA" w:rsidRDefault="007D3CC6" w:rsidP="000A3BEB">
            <w:pPr>
              <w:ind w:right="0"/>
              <w:jc w:val="left"/>
            </w:pPr>
            <w:r>
              <w:rPr>
                <w:rFonts w:hint="eastAsia"/>
                <w:sz w:val="24"/>
              </w:rPr>
              <w:t>▲</w:t>
            </w:r>
            <w:r w:rsidR="00CA3EFA">
              <w:rPr>
                <w:sz w:val="24"/>
              </w:rPr>
              <w:t xml:space="preserve">拋送漂浮物3至5公尺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A3EFA" w:rsidRDefault="00CA3EFA" w:rsidP="000A3BEB">
            <w:pPr>
              <w:ind w:right="0"/>
              <w:jc w:val="left"/>
            </w:pPr>
            <w:r>
              <w:rPr>
                <w:sz w:val="24"/>
              </w:rPr>
              <w:t xml:space="preserve">漂浮物可利用日常可得物品，例如:寶特瓶、保麗龍等。 </w:t>
            </w:r>
          </w:p>
        </w:tc>
      </w:tr>
    </w:tbl>
    <w:p w:rsidR="004516CF" w:rsidRDefault="004516CF" w:rsidP="004516CF">
      <w:pPr>
        <w:ind w:right="0"/>
        <w:jc w:val="left"/>
      </w:pPr>
      <w:r>
        <w:rPr>
          <w:sz w:val="24"/>
        </w:rPr>
        <w:t xml:space="preserve"> </w:t>
      </w:r>
    </w:p>
    <w:p w:rsidR="004516CF" w:rsidRDefault="004516C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  <w:r>
        <w:rPr>
          <w:noProof/>
        </w:rPr>
        <w:lastRenderedPageBreak/>
        <w:drawing>
          <wp:inline distT="0" distB="0" distL="0" distR="0" wp14:anchorId="2482FC8F" wp14:editId="321C3185">
            <wp:extent cx="9320530" cy="38182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Default="001B42FF">
      <w:pPr>
        <w:ind w:right="0"/>
        <w:jc w:val="left"/>
      </w:pPr>
    </w:p>
    <w:p w:rsidR="001B42FF" w:rsidRPr="004516CF" w:rsidRDefault="001B42FF">
      <w:pPr>
        <w:ind w:right="0"/>
        <w:jc w:val="left"/>
      </w:pPr>
      <w:r>
        <w:rPr>
          <w:noProof/>
        </w:rPr>
        <w:lastRenderedPageBreak/>
        <w:drawing>
          <wp:inline distT="0" distB="0" distL="0" distR="0" wp14:anchorId="4BCAC71D" wp14:editId="0620B109">
            <wp:extent cx="9320530" cy="44399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2FF" w:rsidRPr="004516CF" w:rsidSect="00113A53">
      <w:pgSz w:w="16838" w:h="11906" w:orient="landscape"/>
      <w:pgMar w:top="567" w:right="567" w:bottom="567" w:left="56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9E" w:rsidRDefault="00BA599E" w:rsidP="00113A53">
      <w:pPr>
        <w:spacing w:line="240" w:lineRule="auto"/>
      </w:pPr>
      <w:r>
        <w:separator/>
      </w:r>
    </w:p>
  </w:endnote>
  <w:endnote w:type="continuationSeparator" w:id="0">
    <w:p w:rsidR="00BA599E" w:rsidRDefault="00BA599E" w:rsidP="00113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9E" w:rsidRDefault="00BA599E" w:rsidP="00113A53">
      <w:pPr>
        <w:spacing w:line="240" w:lineRule="auto"/>
      </w:pPr>
      <w:r>
        <w:separator/>
      </w:r>
    </w:p>
  </w:footnote>
  <w:footnote w:type="continuationSeparator" w:id="0">
    <w:p w:rsidR="00BA599E" w:rsidRDefault="00BA599E" w:rsidP="00113A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D7"/>
    <w:rsid w:val="000A3BEB"/>
    <w:rsid w:val="00113A53"/>
    <w:rsid w:val="00191CA1"/>
    <w:rsid w:val="001B42FF"/>
    <w:rsid w:val="001F5792"/>
    <w:rsid w:val="00304A5B"/>
    <w:rsid w:val="00350F8B"/>
    <w:rsid w:val="004516CF"/>
    <w:rsid w:val="00475195"/>
    <w:rsid w:val="005C4EA1"/>
    <w:rsid w:val="007942A0"/>
    <w:rsid w:val="007D3CC6"/>
    <w:rsid w:val="00841B42"/>
    <w:rsid w:val="008A54AD"/>
    <w:rsid w:val="008E7B2E"/>
    <w:rsid w:val="009C114E"/>
    <w:rsid w:val="009C5212"/>
    <w:rsid w:val="00AB08D5"/>
    <w:rsid w:val="00AB7E34"/>
    <w:rsid w:val="00B058FF"/>
    <w:rsid w:val="00BA23EC"/>
    <w:rsid w:val="00BA599E"/>
    <w:rsid w:val="00BB27D7"/>
    <w:rsid w:val="00C807AC"/>
    <w:rsid w:val="00CA3EFA"/>
    <w:rsid w:val="00D873AF"/>
    <w:rsid w:val="00F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399E1"/>
  <w15:docId w15:val="{B7FCF98E-75A0-4E75-81BF-4CEB73F9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right="3939"/>
      <w:jc w:val="right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1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A5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A53"/>
    <w:rPr>
      <w:rFonts w:ascii="標楷體" w:eastAsia="標楷體" w:hAnsi="標楷體" w:cs="標楷體"/>
      <w:color w:val="000000"/>
      <w:sz w:val="20"/>
      <w:szCs w:val="20"/>
    </w:rPr>
  </w:style>
  <w:style w:type="table" w:styleId="a7">
    <w:name w:val="Table Grid"/>
    <w:basedOn w:val="a1"/>
    <w:uiPriority w:val="39"/>
    <w:rsid w:val="0011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23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fogNEoJUc&amp;list=PLlQfBnj2kYSordJXjZk8tHAid1qJ-W6EY&amp;index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5PEA8tTmWE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rj4rXrEzng&amp;list=PLlQfBnj2kYSordJXjZk8tHAid1qJ-W6EY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DqMxcZTwxA&amp;list=PLlQfBnj2kYSordJXjZk8tHAid1qJ-W6EY&amp;index=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tLrXKA_eSk&amp;list=PLlQfBnj2kYSordJXjZk8tHAid1qJ-W6EY&amp;index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學校組 徐瑄苓</dc:creator>
  <cp:keywords/>
  <cp:lastModifiedBy>acer</cp:lastModifiedBy>
  <cp:revision>2</cp:revision>
  <dcterms:created xsi:type="dcterms:W3CDTF">2024-06-24T07:30:00Z</dcterms:created>
  <dcterms:modified xsi:type="dcterms:W3CDTF">2024-06-24T07:30:00Z</dcterms:modified>
</cp:coreProperties>
</file>