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88" w:rsidRPr="00E248DD" w:rsidRDefault="00E248DD" w:rsidP="00E248DD">
      <w:pPr>
        <w:jc w:val="center"/>
        <w:rPr>
          <w:rFonts w:ascii="標楷體" w:eastAsia="標楷體" w:hAnsi="標楷體" w:cs="Times New Roman"/>
          <w:bCs/>
          <w:kern w:val="0"/>
          <w:sz w:val="40"/>
          <w:szCs w:val="40"/>
        </w:rPr>
      </w:pPr>
      <w:r>
        <w:rPr>
          <w:rFonts w:ascii="標楷體" w:eastAsia="標楷體" w:hAnsi="標楷體" w:cs="Times New Roman" w:hint="eastAsia"/>
          <w:bCs/>
          <w:kern w:val="0"/>
          <w:sz w:val="40"/>
          <w:szCs w:val="40"/>
        </w:rPr>
        <w:t>台南市立白河國民中學</w:t>
      </w:r>
      <w:r w:rsidR="00BC5788" w:rsidRPr="00E248DD">
        <w:rPr>
          <w:rFonts w:ascii="標楷體" w:eastAsia="標楷體" w:hAnsi="標楷體" w:cs="Times New Roman" w:hint="eastAsia"/>
          <w:bCs/>
          <w:kern w:val="0"/>
          <w:sz w:val="40"/>
          <w:szCs w:val="40"/>
        </w:rPr>
        <w:t>「</w:t>
      </w:r>
      <w:r w:rsidRPr="00E248DD">
        <w:rPr>
          <w:rFonts w:ascii="標楷體" w:eastAsia="標楷體" w:hAnsi="標楷體" w:cs="Times New Roman" w:hint="eastAsia"/>
          <w:bCs/>
          <w:kern w:val="0"/>
          <w:sz w:val="40"/>
          <w:szCs w:val="40"/>
        </w:rPr>
        <w:t>防制學生藥物濫用</w:t>
      </w:r>
      <w:r w:rsidR="00BC5788" w:rsidRPr="00E248DD">
        <w:rPr>
          <w:rFonts w:ascii="標楷體" w:eastAsia="標楷體" w:hAnsi="標楷體" w:cs="Times New Roman" w:hint="eastAsia"/>
          <w:bCs/>
          <w:kern w:val="0"/>
          <w:sz w:val="40"/>
          <w:szCs w:val="40"/>
        </w:rPr>
        <w:t>」</w:t>
      </w:r>
      <w:r w:rsidRPr="00E248DD">
        <w:rPr>
          <w:rFonts w:ascii="標楷體" w:eastAsia="標楷體" w:hAnsi="標楷體" w:cs="Times New Roman" w:hint="eastAsia"/>
          <w:bCs/>
          <w:kern w:val="0"/>
          <w:sz w:val="40"/>
          <w:szCs w:val="40"/>
        </w:rPr>
        <w:t>實施計畫</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bCs/>
          <w:kern w:val="0"/>
          <w:szCs w:val="24"/>
        </w:rPr>
        <w:t> </w:t>
      </w:r>
      <w:r w:rsidRPr="00E248DD">
        <w:rPr>
          <w:rFonts w:asciiTheme="minorEastAsia" w:hAnsiTheme="minorEastAsia" w:cs="Times New Roman" w:hint="eastAsia"/>
          <w:bCs/>
          <w:kern w:val="0"/>
          <w:szCs w:val="24"/>
        </w:rPr>
        <w:t>壹、依據：</w:t>
      </w:r>
    </w:p>
    <w:p w:rsidR="00A07E84" w:rsidRPr="00A07E84" w:rsidRDefault="00A07E84" w:rsidP="00A07E84">
      <w:pPr>
        <w:pStyle w:val="a4"/>
        <w:numPr>
          <w:ilvl w:val="0"/>
          <w:numId w:val="1"/>
        </w:numPr>
        <w:ind w:leftChars="0"/>
        <w:rPr>
          <w:rFonts w:asciiTheme="minorEastAsia" w:hAnsiTheme="minorEastAsia" w:cs="Times New Roman"/>
          <w:bCs/>
          <w:kern w:val="0"/>
          <w:szCs w:val="24"/>
        </w:rPr>
      </w:pPr>
      <w:r w:rsidRPr="00A07E84">
        <w:rPr>
          <w:rFonts w:asciiTheme="minorEastAsia" w:hAnsiTheme="minorEastAsia" w:cs="Times New Roman" w:hint="eastAsia"/>
          <w:bCs/>
          <w:kern w:val="0"/>
          <w:szCs w:val="24"/>
        </w:rPr>
        <w:t>中華民國107年3月30日南市教安(二)字第1070161040號</w:t>
      </w:r>
      <w:r>
        <w:rPr>
          <w:rFonts w:asciiTheme="minorEastAsia" w:hAnsiTheme="minorEastAsia" w:cs="Times New Roman" w:hint="eastAsia"/>
          <w:bCs/>
          <w:kern w:val="0"/>
          <w:szCs w:val="24"/>
        </w:rPr>
        <w:t>函辦理。</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貳、目的：</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防制學生濫用藥物及推動愛滋病防治教育，以維護學生健康，促進身心正常發展，。</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參、實施要領：</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一、對象：全校師生。</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二、內容：</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（一）防制學生濫用藥物：依「毒品危害防制條例」所列之一、二、三、四級毒品《如：古柯鹼、海洛因、鴉片、嗎啡；罌粟、古柯、大麻、安非他命、MDMA、GHB、一粒沙、</w:t>
      </w:r>
      <w:r w:rsidRPr="00E248DD">
        <w:rPr>
          <w:rFonts w:asciiTheme="minorEastAsia" w:hAnsiTheme="minorEastAsia" w:cs="Times New Roman" w:hint="eastAsia"/>
          <w:bCs/>
          <w:kern w:val="0"/>
          <w:szCs w:val="24"/>
          <w:u w:val="single"/>
        </w:rPr>
        <w:t>喵喵</w:t>
      </w:r>
      <w:r w:rsidRPr="00E248DD">
        <w:rPr>
          <w:rFonts w:asciiTheme="minorEastAsia" w:hAnsiTheme="minorEastAsia" w:cs="Times New Roman" w:hint="eastAsia"/>
          <w:bCs/>
          <w:kern w:val="0"/>
          <w:szCs w:val="24"/>
        </w:rPr>
        <w:t>、潘他唑新；氟硝西泮（FM2）、愷（K）他命、</w:t>
      </w:r>
      <w:r w:rsidRPr="00E248DD">
        <w:rPr>
          <w:rFonts w:asciiTheme="minorEastAsia" w:hAnsiTheme="minorEastAsia" w:cs="Times New Roman" w:hint="eastAsia"/>
          <w:bCs/>
          <w:kern w:val="0"/>
          <w:szCs w:val="24"/>
          <w:u w:val="single"/>
        </w:rPr>
        <w:t>PMMA</w:t>
      </w:r>
      <w:r w:rsidRPr="00E248DD">
        <w:rPr>
          <w:rFonts w:asciiTheme="minorEastAsia" w:hAnsiTheme="minorEastAsia" w:cs="Times New Roman" w:hint="eastAsia"/>
          <w:bCs/>
          <w:kern w:val="0"/>
          <w:szCs w:val="24"/>
        </w:rPr>
        <w:t>、蝴蝶片、一粒眠、火狐狸等及其相類製品》及其他有害身心之藥物。</w:t>
      </w:r>
    </w:p>
    <w:p w:rsidR="005907E8"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（二）</w:t>
      </w:r>
      <w:r w:rsidR="005907E8" w:rsidRPr="00E248DD">
        <w:rPr>
          <w:rFonts w:asciiTheme="minorEastAsia" w:hAnsiTheme="minorEastAsia" w:cs="Times New Roman" w:hint="eastAsia"/>
          <w:bCs/>
          <w:kern w:val="0"/>
          <w:szCs w:val="24"/>
        </w:rPr>
        <w:t>愛滋病（後天免疫缺乏症候群）防治教育。</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三、實施方式：</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（一）教育宣導：</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 xml:space="preserve">　１、以「春暉專案」為主題，結合民間團體、學校及社區資源辦理相關　　　宣導活動，增進學生與社區民眾正確認知，以擴大宣教成效。</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 xml:space="preserve">　２、加強學生「認識藥物」、「防制濫用藥物」、「預防愛滋病」等各項危害認知教育。</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３、每年6月訂為春暉專案「藥物濫用防制宣導月」，12月訂為春暉專案「愛滋病防治宣導月」，並辦理學生才藝競賽及相關宣教活動。</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４、建構學校「春暉專案」網頁，並經常更新資料，藉由各項新知交流，增進網站宣導效能。</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５、即時掌握毒品、菸害及愛滋病防治等相關新聞事件對師生進行機會教育，並加強新興毒品（如Ｋ他命、</w:t>
      </w:r>
      <w:r w:rsidR="00BC5788" w:rsidRPr="00E248DD">
        <w:rPr>
          <w:rFonts w:asciiTheme="minorEastAsia" w:hAnsiTheme="minorEastAsia" w:cs="Times New Roman" w:hint="eastAsia"/>
          <w:bCs/>
          <w:kern w:val="0"/>
          <w:szCs w:val="24"/>
          <w:u w:val="single"/>
        </w:rPr>
        <w:t>PMMA</w:t>
      </w:r>
      <w:r w:rsidR="00BC5788" w:rsidRPr="00E248DD">
        <w:rPr>
          <w:rFonts w:asciiTheme="minorEastAsia" w:hAnsiTheme="minorEastAsia" w:cs="Times New Roman" w:hint="eastAsia"/>
          <w:bCs/>
          <w:kern w:val="0"/>
          <w:szCs w:val="24"/>
        </w:rPr>
        <w:t>、</w:t>
      </w:r>
      <w:r w:rsidR="00BC5788" w:rsidRPr="00E248DD">
        <w:rPr>
          <w:rFonts w:asciiTheme="minorEastAsia" w:hAnsiTheme="minorEastAsia" w:cs="Times New Roman" w:hint="eastAsia"/>
          <w:bCs/>
          <w:kern w:val="0"/>
          <w:szCs w:val="24"/>
          <w:u w:val="single"/>
        </w:rPr>
        <w:t>喵喵</w:t>
      </w:r>
      <w:r w:rsidR="00BC5788" w:rsidRPr="00E248DD">
        <w:rPr>
          <w:rFonts w:asciiTheme="minorEastAsia" w:hAnsiTheme="minorEastAsia" w:cs="Times New Roman" w:hint="eastAsia"/>
          <w:bCs/>
          <w:kern w:val="0"/>
          <w:szCs w:val="24"/>
        </w:rPr>
        <w:t>等）危害之宣導。</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６、</w:t>
      </w:r>
      <w:r w:rsidR="00BC5788" w:rsidRPr="00E248DD">
        <w:rPr>
          <w:rFonts w:asciiTheme="minorEastAsia" w:hAnsiTheme="minorEastAsia" w:cs="Times New Roman" w:hint="eastAsia"/>
          <w:bCs/>
          <w:kern w:val="0"/>
          <w:szCs w:val="24"/>
          <w:u w:val="single"/>
        </w:rPr>
        <w:t>於「健康與護理」領域課程實施適當單元施教1堂課以上「反毒認知教學」。</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     （二）清查：</w:t>
      </w:r>
    </w:p>
    <w:p w:rsidR="00BC5788" w:rsidRPr="00E248DD" w:rsidRDefault="00BC5788" w:rsidP="0099344F">
      <w:pPr>
        <w:ind w:firstLineChars="100" w:firstLine="240"/>
        <w:rPr>
          <w:rFonts w:asciiTheme="minorEastAsia" w:hAnsiTheme="minorEastAsia" w:cs="Times New Roman"/>
          <w:bCs/>
          <w:kern w:val="0"/>
          <w:szCs w:val="24"/>
        </w:rPr>
      </w:pPr>
      <w:r w:rsidRPr="00E248DD">
        <w:rPr>
          <w:rFonts w:asciiTheme="minorEastAsia" w:hAnsiTheme="minorEastAsia" w:cs="Times New Roman" w:hint="eastAsia"/>
          <w:bCs/>
          <w:kern w:val="0"/>
          <w:szCs w:val="24"/>
        </w:rPr>
        <w:t>１、觀察（晤談）：由導師（教官）、訓輔人員，視實際狀況需要，主動連繫學生家長，並關心學生（子女）之上課、生活作息及交友情形（</w:t>
      </w:r>
      <w:r w:rsidR="005907E8">
        <w:rPr>
          <w:rFonts w:asciiTheme="minorEastAsia" w:hAnsiTheme="minorEastAsia" w:cs="Times New Roman" w:hint="eastAsia"/>
          <w:bCs/>
          <w:kern w:val="0"/>
          <w:szCs w:val="24"/>
        </w:rPr>
        <w:t>尤須注意網路交友之情事），從觀察（晤談）中發現學生有無濫用藥物</w:t>
      </w:r>
      <w:r w:rsidRPr="00E248DD">
        <w:rPr>
          <w:rFonts w:asciiTheme="minorEastAsia" w:hAnsiTheme="minorEastAsia" w:cs="Times New Roman" w:hint="eastAsia"/>
          <w:bCs/>
          <w:kern w:val="0"/>
          <w:szCs w:val="24"/>
        </w:rPr>
        <w:t>等情事，俾及早預防與輔導處理。</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２、本校於每學期開學後兩週內，對於濫用藥物、吸菸、嚼食檳榔、酗酒等物質濫用之學生完成列冊管制。</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３、尿液篩檢：透過「快速檢驗試劑」、「毒品鑑識包」、「特定人員尿液篩檢」等方式，瞭解有無學生濫用藥物情形，相關紀錄自存備查（實施過程應注意維護學生之隱私及自尊）。如發現疑似濫用藥物學生，應將檢體保存，經由縣校外會協助送實驗室複驗。</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（三）輔導戒治：</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１、發現精神行為異常，經確認有濫用藥物之學生，除實施校安通報外應立即成立「春暉小組」協助輔導戒治，組成成員包含導師、輔導老師（必要時得加社工人員）、學務人員、教官、學生家長（監護人）或相關人員等，並依教育部「各級學校特定人員尿液篩檢及輔導作業要點」、本校「防制學生藥物濫用三級預防實施計畫」實施輔導，並密報縣校外會，以利追蹤管制。</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２、陽性確認個案經「春暉小組」輔導3個月後，採集個案尿液，轉由校外會送檢驗機構實施複驗，經確認呈陰性後始可辦理結案；若仍屬陽性反應者，應再實施輔導一次（3個月）。</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３、使用一、二級毒品濫用者，依毒品危害防制條例第21條第1項規定，應先向行政院衛生署</w:t>
      </w:r>
      <w:r w:rsidR="00BC5788" w:rsidRPr="00E248DD">
        <w:rPr>
          <w:rFonts w:asciiTheme="minorEastAsia" w:hAnsiTheme="minorEastAsia" w:cs="Times New Roman" w:hint="eastAsia"/>
          <w:bCs/>
          <w:kern w:val="0"/>
          <w:szCs w:val="24"/>
        </w:rPr>
        <w:lastRenderedPageBreak/>
        <w:t>指定之醫療機構請求治療，醫療機構免將請求治療者送法院或檢察機關之規定，若學生經勒戒或服刑出所後，將資料函送地方毒品危害防制中心實施社工追輔，對於有就學意願者，安排轉換學校就學，並重新列入學校特定人員，重複實施輔導。</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４、依前款規定或家長拒絕送醫戒治或戒治無效時，學校得依毒品危害防制條例相關規定，洽請警察機關協助處理。</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５、藥物濫用學生經司法矯正機構輔導勒戒完成返校後，應列為學校特定人員持續觀察輔導。</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６、對於「春暉小組」列管學生不得以任何理由或方式要求、逼迫學生休、轉學，倘學生於輔導期間因故（休、轉學、畢業等）中斷者，應函文告知校外會，由校外會以密件方式，將個案資料轉介至新學校或該生戶籍所在地區毒品危害防制中心持續追蹤輔導（需取得「轉借毒品危害防制中心家長或監護人同意書」），原始或目的學校應主動通報、查詢，以持續輔導。</w:t>
      </w:r>
    </w:p>
    <w:p w:rsidR="00BC5788" w:rsidRPr="00E248DD" w:rsidRDefault="008428F6" w:rsidP="00BC5788">
      <w:pPr>
        <w:rPr>
          <w:rFonts w:asciiTheme="minorEastAsia" w:hAnsiTheme="minorEastAsia" w:cs="Times New Roman"/>
          <w:bCs/>
          <w:kern w:val="0"/>
          <w:szCs w:val="24"/>
        </w:rPr>
      </w:pPr>
      <w:r>
        <w:rPr>
          <w:rFonts w:asciiTheme="minorEastAsia" w:hAnsiTheme="minorEastAsia" w:cs="Times New Roman" w:hint="eastAsia"/>
          <w:bCs/>
          <w:kern w:val="0"/>
          <w:szCs w:val="24"/>
        </w:rPr>
        <w:t xml:space="preserve">　　</w:t>
      </w:r>
      <w:r w:rsidR="00BC5788" w:rsidRPr="00E248DD">
        <w:rPr>
          <w:rFonts w:asciiTheme="minorEastAsia" w:hAnsiTheme="minorEastAsia" w:cs="Times New Roman" w:hint="eastAsia"/>
          <w:bCs/>
          <w:kern w:val="0"/>
          <w:szCs w:val="24"/>
        </w:rPr>
        <w:t>肆、執行要項：</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一、結合相關輔導資源，建立「學生藥物</w:t>
      </w:r>
      <w:r w:rsidR="004E29F4">
        <w:rPr>
          <w:rFonts w:asciiTheme="minorEastAsia" w:hAnsiTheme="minorEastAsia" w:cs="Times New Roman" w:hint="eastAsia"/>
          <w:bCs/>
          <w:kern w:val="0"/>
          <w:szCs w:val="24"/>
        </w:rPr>
        <w:t>濫用輔導諮商網絡」、並訂定「防制學生藥物濫用三級預防實施計畫」</w:t>
      </w:r>
      <w:r w:rsidRPr="00E248DD">
        <w:rPr>
          <w:rFonts w:asciiTheme="minorEastAsia" w:hAnsiTheme="minorEastAsia" w:cs="Times New Roman" w:hint="eastAsia"/>
          <w:bCs/>
          <w:kern w:val="0"/>
          <w:szCs w:val="24"/>
        </w:rPr>
        <w:t>，據以落實執行：</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（一）一級預防：</w:t>
      </w:r>
      <w:r w:rsidRPr="00E248DD">
        <w:rPr>
          <w:rFonts w:asciiTheme="minorEastAsia" w:hAnsiTheme="minorEastAsia" w:cs="Times New Roman" w:hint="eastAsia"/>
          <w:bCs/>
          <w:kern w:val="0"/>
          <w:szCs w:val="24"/>
        </w:rPr>
        <w:br/>
        <w:t>1.策略：減少危險因子、增加保護因子。</w:t>
      </w:r>
      <w:r w:rsidRPr="00E248DD">
        <w:rPr>
          <w:rFonts w:asciiTheme="minorEastAsia" w:hAnsiTheme="minorEastAsia" w:cs="Times New Roman" w:hint="eastAsia"/>
          <w:bCs/>
          <w:kern w:val="0"/>
          <w:szCs w:val="24"/>
        </w:rPr>
        <w:br/>
        <w:t>2.目標：活得健康、適性發展、無藥物濫用。</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（二）二級預防：</w:t>
      </w:r>
      <w:r w:rsidRPr="00E248DD">
        <w:rPr>
          <w:rFonts w:asciiTheme="minorEastAsia" w:hAnsiTheme="minorEastAsia" w:cs="Times New Roman" w:hint="eastAsia"/>
          <w:bCs/>
          <w:kern w:val="0"/>
          <w:szCs w:val="24"/>
        </w:rPr>
        <w:br/>
        <w:t>1.策略：進行高危險群篩檢，並實施介入方案。</w:t>
      </w:r>
      <w:r w:rsidRPr="00E248DD">
        <w:rPr>
          <w:rFonts w:asciiTheme="minorEastAsia" w:hAnsiTheme="minorEastAsia" w:cs="Times New Roman" w:hint="eastAsia"/>
          <w:bCs/>
          <w:kern w:val="0"/>
          <w:szCs w:val="24"/>
        </w:rPr>
        <w:br/>
        <w:t>2.目標：早期發現，早期介入，預防藥物濫用、成癮</w:t>
      </w:r>
      <w:r w:rsidRPr="00E248DD">
        <w:rPr>
          <w:rFonts w:asciiTheme="minorEastAsia" w:hAnsiTheme="minorEastAsia" w:cs="Times New Roman" w:hint="eastAsia"/>
          <w:bCs/>
          <w:kern w:val="0"/>
          <w:szCs w:val="24"/>
        </w:rPr>
        <w:br/>
        <w:t>  或嚴重危害。</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（三）三級預防：</w:t>
      </w:r>
      <w:r w:rsidRPr="00E248DD">
        <w:rPr>
          <w:rFonts w:asciiTheme="minorEastAsia" w:hAnsiTheme="minorEastAsia" w:cs="Times New Roman" w:hint="eastAsia"/>
          <w:bCs/>
          <w:kern w:val="0"/>
          <w:szCs w:val="24"/>
        </w:rPr>
        <w:br/>
        <w:t>1.策略：結合醫療資源，協助戒治。</w:t>
      </w:r>
      <w:r w:rsidRPr="00E248DD">
        <w:rPr>
          <w:rFonts w:asciiTheme="minorEastAsia" w:hAnsiTheme="minorEastAsia" w:cs="Times New Roman" w:hint="eastAsia"/>
          <w:bCs/>
          <w:kern w:val="0"/>
          <w:szCs w:val="24"/>
        </w:rPr>
        <w:br/>
        <w:t>2.目標：降低危害、有效戒治、預防再用。</w:t>
      </w:r>
    </w:p>
    <w:p w:rsidR="00BC5788" w:rsidRPr="00E248DD" w:rsidRDefault="004E29F4" w:rsidP="00BC5788">
      <w:pPr>
        <w:rPr>
          <w:rFonts w:asciiTheme="minorEastAsia" w:hAnsiTheme="minorEastAsia" w:cs="Times New Roman"/>
          <w:bCs/>
          <w:kern w:val="0"/>
          <w:szCs w:val="24"/>
        </w:rPr>
      </w:pPr>
      <w:r>
        <w:rPr>
          <w:rFonts w:asciiTheme="minorEastAsia" w:hAnsiTheme="minorEastAsia" w:cs="Times New Roman" w:hint="eastAsia"/>
          <w:bCs/>
          <w:kern w:val="0"/>
          <w:szCs w:val="24"/>
        </w:rPr>
        <w:t>二</w:t>
      </w:r>
      <w:r w:rsidR="00BC5788" w:rsidRPr="00E248DD">
        <w:rPr>
          <w:rFonts w:asciiTheme="minorEastAsia" w:hAnsiTheme="minorEastAsia" w:cs="Times New Roman" w:hint="eastAsia"/>
          <w:bCs/>
          <w:kern w:val="0"/>
          <w:szCs w:val="24"/>
        </w:rPr>
        <w:t>、</w:t>
      </w:r>
      <w:r>
        <w:rPr>
          <w:rFonts w:asciiTheme="minorEastAsia" w:hAnsiTheme="minorEastAsia" w:cs="Times New Roman" w:hint="eastAsia"/>
          <w:bCs/>
          <w:kern w:val="0"/>
          <w:szCs w:val="24"/>
        </w:rPr>
        <w:t>配合教育局及</w:t>
      </w:r>
      <w:r w:rsidR="00BC5788" w:rsidRPr="00E248DD">
        <w:rPr>
          <w:rFonts w:asciiTheme="minorEastAsia" w:hAnsiTheme="minorEastAsia" w:cs="Times New Roman" w:hint="eastAsia"/>
          <w:bCs/>
          <w:kern w:val="0"/>
          <w:szCs w:val="24"/>
        </w:rPr>
        <w:t>校外會實施防制藥物濫用之學生尿液篩檢工作。</w:t>
      </w:r>
    </w:p>
    <w:p w:rsidR="00BC5788" w:rsidRPr="00E248DD" w:rsidRDefault="004E29F4" w:rsidP="00BC5788">
      <w:pPr>
        <w:rPr>
          <w:rFonts w:asciiTheme="minorEastAsia" w:hAnsiTheme="minorEastAsia" w:cs="Times New Roman"/>
          <w:bCs/>
          <w:kern w:val="0"/>
          <w:szCs w:val="24"/>
        </w:rPr>
      </w:pPr>
      <w:r>
        <w:rPr>
          <w:rFonts w:asciiTheme="minorEastAsia" w:hAnsiTheme="minorEastAsia" w:cs="Times New Roman" w:hint="eastAsia"/>
          <w:bCs/>
          <w:kern w:val="0"/>
          <w:szCs w:val="24"/>
        </w:rPr>
        <w:t>三</w:t>
      </w:r>
      <w:r w:rsidR="00BC5788" w:rsidRPr="00E248DD">
        <w:rPr>
          <w:rFonts w:asciiTheme="minorEastAsia" w:hAnsiTheme="minorEastAsia" w:cs="Times New Roman" w:hint="eastAsia"/>
          <w:bCs/>
          <w:kern w:val="0"/>
          <w:szCs w:val="24"/>
        </w:rPr>
        <w:t>、配合朝週會實施「防制藥物濫用」專題教育，並力求宣教方式活潑化、多樣化，以提昇宣教成效。</w:t>
      </w:r>
    </w:p>
    <w:p w:rsidR="00BC5788" w:rsidRPr="00E248DD" w:rsidRDefault="004E29F4" w:rsidP="00BC5788">
      <w:pPr>
        <w:rPr>
          <w:rFonts w:asciiTheme="minorEastAsia" w:hAnsiTheme="minorEastAsia" w:cs="Times New Roman"/>
          <w:bCs/>
          <w:kern w:val="0"/>
          <w:szCs w:val="24"/>
        </w:rPr>
      </w:pPr>
      <w:r>
        <w:rPr>
          <w:rFonts w:asciiTheme="minorEastAsia" w:hAnsiTheme="minorEastAsia" w:cs="Times New Roman" w:hint="eastAsia"/>
          <w:bCs/>
          <w:kern w:val="0"/>
          <w:szCs w:val="24"/>
        </w:rPr>
        <w:t>四</w:t>
      </w:r>
      <w:r w:rsidR="00BC5788" w:rsidRPr="00E248DD">
        <w:rPr>
          <w:rFonts w:asciiTheme="minorEastAsia" w:hAnsiTheme="minorEastAsia" w:cs="Times New Roman" w:hint="eastAsia"/>
          <w:bCs/>
          <w:kern w:val="0"/>
          <w:szCs w:val="24"/>
        </w:rPr>
        <w:t>、運用「快速檢驗試劑」、「毒品鑑識包」篩檢，提昇臨時檢驗成效並時施「特定人員尿液篩檢」工作。</w:t>
      </w:r>
    </w:p>
    <w:p w:rsidR="00BC5788" w:rsidRPr="00E248DD" w:rsidRDefault="004E29F4" w:rsidP="00BC5788">
      <w:pPr>
        <w:rPr>
          <w:rFonts w:asciiTheme="minorEastAsia" w:hAnsiTheme="minorEastAsia" w:cs="Times New Roman"/>
          <w:bCs/>
          <w:kern w:val="0"/>
          <w:szCs w:val="24"/>
        </w:rPr>
      </w:pPr>
      <w:r>
        <w:rPr>
          <w:rFonts w:asciiTheme="minorEastAsia" w:hAnsiTheme="minorEastAsia" w:cs="Times New Roman" w:hint="eastAsia"/>
          <w:bCs/>
          <w:kern w:val="0"/>
          <w:szCs w:val="24"/>
        </w:rPr>
        <w:t>五</w:t>
      </w:r>
      <w:r w:rsidR="00BC5788" w:rsidRPr="00E248DD">
        <w:rPr>
          <w:rFonts w:asciiTheme="minorEastAsia" w:hAnsiTheme="minorEastAsia" w:cs="Times New Roman" w:hint="eastAsia"/>
          <w:bCs/>
          <w:kern w:val="0"/>
          <w:szCs w:val="24"/>
        </w:rPr>
        <w:t>、配合教育部（或自辦）每年5月執行學生「藥物濫用防制」認知檢測：並就抽測結果認知率較低之題目及態度題所顯示之學生認知加強宣教，以提升學生認知程度達95﹪以上。</w:t>
      </w:r>
    </w:p>
    <w:p w:rsidR="00BC5788" w:rsidRPr="00E248DD" w:rsidRDefault="004E29F4" w:rsidP="00BC5788">
      <w:pPr>
        <w:rPr>
          <w:rFonts w:asciiTheme="minorEastAsia" w:hAnsiTheme="minorEastAsia" w:cs="Times New Roman"/>
          <w:bCs/>
          <w:kern w:val="0"/>
          <w:szCs w:val="24"/>
        </w:rPr>
      </w:pPr>
      <w:r>
        <w:rPr>
          <w:rFonts w:asciiTheme="minorEastAsia" w:hAnsiTheme="minorEastAsia" w:cs="Times New Roman" w:hint="eastAsia"/>
          <w:bCs/>
          <w:kern w:val="0"/>
          <w:szCs w:val="24"/>
        </w:rPr>
        <w:t>六</w:t>
      </w:r>
      <w:r w:rsidR="00BC5788" w:rsidRPr="00E248DD">
        <w:rPr>
          <w:rFonts w:asciiTheme="minorEastAsia" w:hAnsiTheme="minorEastAsia" w:cs="Times New Roman" w:hint="eastAsia"/>
          <w:bCs/>
          <w:kern w:val="0"/>
          <w:szCs w:val="24"/>
        </w:rPr>
        <w:t>、落實「反毒教育具體策略」：</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（一）加強學生濫用藥物防制清查作為。</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（二）持續辦理學生濫用藥物危害認知測驗。</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伍、編組：</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為推動「春暉專案」工作，落實學生藥物濫用防制、消除菸害、拒絕酗酒、禁止嚼食檳榔及愛滋病防治教育，維護學生身心健康，本校成立「春暉專案」任務推動小組，由校長擔任主任委員，各相關處（室）主管擔任委員，以推動此一工作。</w:t>
      </w:r>
    </w:p>
    <w:p w:rsidR="00BC5788" w:rsidRPr="00E248DD" w:rsidRDefault="00BC5788" w:rsidP="00BC5788">
      <w:pPr>
        <w:rPr>
          <w:rFonts w:asciiTheme="minorEastAsia" w:hAnsiTheme="minorEastAsia" w:cs="Times New Roman"/>
          <w:bCs/>
          <w:kern w:val="0"/>
          <w:szCs w:val="24"/>
        </w:rPr>
      </w:pPr>
      <w:r w:rsidRPr="00E248DD">
        <w:rPr>
          <w:rFonts w:asciiTheme="minorEastAsia" w:hAnsiTheme="minorEastAsia" w:cs="Times New Roman" w:hint="eastAsia"/>
          <w:bCs/>
          <w:kern w:val="0"/>
          <w:szCs w:val="24"/>
        </w:rPr>
        <w:t>陸、經費：依實際執行需求簽核後，由相關預算項下支應。</w:t>
      </w:r>
    </w:p>
    <w:p w:rsidR="00BC5788" w:rsidRPr="00E248DD" w:rsidRDefault="006E1BCE" w:rsidP="00BC5788">
      <w:pPr>
        <w:rPr>
          <w:rFonts w:asciiTheme="minorEastAsia" w:hAnsiTheme="minorEastAsia" w:cs="Times New Roman"/>
          <w:bCs/>
          <w:kern w:val="0"/>
          <w:szCs w:val="24"/>
        </w:rPr>
      </w:pPr>
      <w:r>
        <w:rPr>
          <w:rFonts w:asciiTheme="minorEastAsia" w:hAnsiTheme="minorEastAsia" w:cs="Times New Roman" w:hint="eastAsia"/>
          <w:bCs/>
          <w:kern w:val="0"/>
          <w:szCs w:val="24"/>
        </w:rPr>
        <w:t>柒</w:t>
      </w:r>
      <w:r w:rsidR="00BC5788" w:rsidRPr="00E248DD">
        <w:rPr>
          <w:rFonts w:asciiTheme="minorEastAsia" w:hAnsiTheme="minorEastAsia" w:cs="Times New Roman" w:hint="eastAsia"/>
          <w:bCs/>
          <w:kern w:val="0"/>
          <w:szCs w:val="24"/>
        </w:rPr>
        <w:t>、本計畫如有未盡事宜，另行補充或修訂之。</w:t>
      </w:r>
    </w:p>
    <w:p w:rsidR="00BC5788" w:rsidRPr="00E248DD" w:rsidRDefault="007271D0" w:rsidP="00C45154">
      <w:pPr>
        <w:autoSpaceDE w:val="0"/>
        <w:autoSpaceDN w:val="0"/>
        <w:adjustRightInd w:val="0"/>
        <w:rPr>
          <w:rFonts w:asciiTheme="minorEastAsia" w:hAnsiTheme="minorEastAsia" w:cs="Times New Roman"/>
          <w:bCs/>
          <w:kern w:val="0"/>
          <w:szCs w:val="24"/>
        </w:rPr>
      </w:pPr>
      <w:r>
        <w:rPr>
          <w:rFonts w:ascii="標楷體" w:eastAsia="標楷體" w:hAnsi="標楷體" w:cs="DFKaiShu-SB-Estd-BF-Identity-H" w:hint="eastAsia"/>
          <w:kern w:val="0"/>
          <w:sz w:val="32"/>
          <w:szCs w:val="32"/>
        </w:rPr>
        <w:t>承辦人                 學務主任                校長</w:t>
      </w:r>
      <w:bookmarkStart w:id="0" w:name="_GoBack"/>
      <w:bookmarkEnd w:id="0"/>
    </w:p>
    <w:p w:rsidR="006D288E" w:rsidRPr="00E248DD" w:rsidRDefault="006D288E" w:rsidP="00BC5788">
      <w:pPr>
        <w:rPr>
          <w:rFonts w:asciiTheme="minorEastAsia" w:hAnsiTheme="minorEastAsia"/>
          <w:szCs w:val="24"/>
        </w:rPr>
      </w:pPr>
    </w:p>
    <w:sectPr w:rsidR="006D288E" w:rsidRPr="00E248DD" w:rsidSect="00BC5788">
      <w:pgSz w:w="11906" w:h="16838"/>
      <w:pgMar w:top="680"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F4" w:rsidRDefault="00124AF4" w:rsidP="007271D0">
      <w:r>
        <w:separator/>
      </w:r>
    </w:p>
  </w:endnote>
  <w:endnote w:type="continuationSeparator" w:id="0">
    <w:p w:rsidR="00124AF4" w:rsidRDefault="00124AF4" w:rsidP="0072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Identity-H">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F4" w:rsidRDefault="00124AF4" w:rsidP="007271D0">
      <w:r>
        <w:separator/>
      </w:r>
    </w:p>
  </w:footnote>
  <w:footnote w:type="continuationSeparator" w:id="0">
    <w:p w:rsidR="00124AF4" w:rsidRDefault="00124AF4" w:rsidP="00727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74CF"/>
    <w:multiLevelType w:val="hybridMultilevel"/>
    <w:tmpl w:val="9676D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1D"/>
    <w:rsid w:val="00124AF4"/>
    <w:rsid w:val="0035573E"/>
    <w:rsid w:val="004E29F4"/>
    <w:rsid w:val="005907E8"/>
    <w:rsid w:val="006D288E"/>
    <w:rsid w:val="006E1BCE"/>
    <w:rsid w:val="007271D0"/>
    <w:rsid w:val="008428F6"/>
    <w:rsid w:val="0099344F"/>
    <w:rsid w:val="00A07E84"/>
    <w:rsid w:val="00BC5788"/>
    <w:rsid w:val="00C448BB"/>
    <w:rsid w:val="00C45154"/>
    <w:rsid w:val="00D0511D"/>
    <w:rsid w:val="00E248DD"/>
    <w:rsid w:val="00F2310A"/>
    <w:rsid w:val="00FD0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578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C5788"/>
    <w:rPr>
      <w:b/>
      <w:bCs/>
    </w:rPr>
  </w:style>
  <w:style w:type="character" w:customStyle="1" w:styleId="apple-converted-space">
    <w:name w:val="apple-converted-space"/>
    <w:basedOn w:val="a0"/>
    <w:rsid w:val="00BC5788"/>
  </w:style>
  <w:style w:type="paragraph" w:styleId="3">
    <w:name w:val="Body Text Indent 3"/>
    <w:basedOn w:val="a"/>
    <w:link w:val="30"/>
    <w:uiPriority w:val="99"/>
    <w:semiHidden/>
    <w:unhideWhenUsed/>
    <w:rsid w:val="00BC5788"/>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BC5788"/>
    <w:rPr>
      <w:rFonts w:ascii="新細明體" w:eastAsia="新細明體" w:hAnsi="新細明體" w:cs="新細明體"/>
      <w:kern w:val="0"/>
      <w:szCs w:val="24"/>
    </w:rPr>
  </w:style>
  <w:style w:type="paragraph" w:styleId="a4">
    <w:name w:val="List Paragraph"/>
    <w:basedOn w:val="a"/>
    <w:uiPriority w:val="34"/>
    <w:qFormat/>
    <w:rsid w:val="00A07E84"/>
    <w:pPr>
      <w:ind w:leftChars="200" w:left="480"/>
    </w:pPr>
  </w:style>
  <w:style w:type="paragraph" w:styleId="a5">
    <w:name w:val="header"/>
    <w:basedOn w:val="a"/>
    <w:link w:val="a6"/>
    <w:uiPriority w:val="99"/>
    <w:unhideWhenUsed/>
    <w:rsid w:val="007271D0"/>
    <w:pPr>
      <w:tabs>
        <w:tab w:val="center" w:pos="4153"/>
        <w:tab w:val="right" w:pos="8306"/>
      </w:tabs>
      <w:snapToGrid w:val="0"/>
    </w:pPr>
    <w:rPr>
      <w:sz w:val="20"/>
      <w:szCs w:val="20"/>
    </w:rPr>
  </w:style>
  <w:style w:type="character" w:customStyle="1" w:styleId="a6">
    <w:name w:val="頁首 字元"/>
    <w:basedOn w:val="a0"/>
    <w:link w:val="a5"/>
    <w:uiPriority w:val="99"/>
    <w:rsid w:val="007271D0"/>
    <w:rPr>
      <w:sz w:val="20"/>
      <w:szCs w:val="20"/>
    </w:rPr>
  </w:style>
  <w:style w:type="paragraph" w:styleId="a7">
    <w:name w:val="footer"/>
    <w:basedOn w:val="a"/>
    <w:link w:val="a8"/>
    <w:uiPriority w:val="99"/>
    <w:unhideWhenUsed/>
    <w:rsid w:val="007271D0"/>
    <w:pPr>
      <w:tabs>
        <w:tab w:val="center" w:pos="4153"/>
        <w:tab w:val="right" w:pos="8306"/>
      </w:tabs>
      <w:snapToGrid w:val="0"/>
    </w:pPr>
    <w:rPr>
      <w:sz w:val="20"/>
      <w:szCs w:val="20"/>
    </w:rPr>
  </w:style>
  <w:style w:type="character" w:customStyle="1" w:styleId="a8">
    <w:name w:val="頁尾 字元"/>
    <w:basedOn w:val="a0"/>
    <w:link w:val="a7"/>
    <w:uiPriority w:val="99"/>
    <w:rsid w:val="007271D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578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C5788"/>
    <w:rPr>
      <w:b/>
      <w:bCs/>
    </w:rPr>
  </w:style>
  <w:style w:type="character" w:customStyle="1" w:styleId="apple-converted-space">
    <w:name w:val="apple-converted-space"/>
    <w:basedOn w:val="a0"/>
    <w:rsid w:val="00BC5788"/>
  </w:style>
  <w:style w:type="paragraph" w:styleId="3">
    <w:name w:val="Body Text Indent 3"/>
    <w:basedOn w:val="a"/>
    <w:link w:val="30"/>
    <w:uiPriority w:val="99"/>
    <w:semiHidden/>
    <w:unhideWhenUsed/>
    <w:rsid w:val="00BC5788"/>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BC5788"/>
    <w:rPr>
      <w:rFonts w:ascii="新細明體" w:eastAsia="新細明體" w:hAnsi="新細明體" w:cs="新細明體"/>
      <w:kern w:val="0"/>
      <w:szCs w:val="24"/>
    </w:rPr>
  </w:style>
  <w:style w:type="paragraph" w:styleId="a4">
    <w:name w:val="List Paragraph"/>
    <w:basedOn w:val="a"/>
    <w:uiPriority w:val="34"/>
    <w:qFormat/>
    <w:rsid w:val="00A07E84"/>
    <w:pPr>
      <w:ind w:leftChars="200" w:left="480"/>
    </w:pPr>
  </w:style>
  <w:style w:type="paragraph" w:styleId="a5">
    <w:name w:val="header"/>
    <w:basedOn w:val="a"/>
    <w:link w:val="a6"/>
    <w:uiPriority w:val="99"/>
    <w:unhideWhenUsed/>
    <w:rsid w:val="007271D0"/>
    <w:pPr>
      <w:tabs>
        <w:tab w:val="center" w:pos="4153"/>
        <w:tab w:val="right" w:pos="8306"/>
      </w:tabs>
      <w:snapToGrid w:val="0"/>
    </w:pPr>
    <w:rPr>
      <w:sz w:val="20"/>
      <w:szCs w:val="20"/>
    </w:rPr>
  </w:style>
  <w:style w:type="character" w:customStyle="1" w:styleId="a6">
    <w:name w:val="頁首 字元"/>
    <w:basedOn w:val="a0"/>
    <w:link w:val="a5"/>
    <w:uiPriority w:val="99"/>
    <w:rsid w:val="007271D0"/>
    <w:rPr>
      <w:sz w:val="20"/>
      <w:szCs w:val="20"/>
    </w:rPr>
  </w:style>
  <w:style w:type="paragraph" w:styleId="a7">
    <w:name w:val="footer"/>
    <w:basedOn w:val="a"/>
    <w:link w:val="a8"/>
    <w:uiPriority w:val="99"/>
    <w:unhideWhenUsed/>
    <w:rsid w:val="007271D0"/>
    <w:pPr>
      <w:tabs>
        <w:tab w:val="center" w:pos="4153"/>
        <w:tab w:val="right" w:pos="8306"/>
      </w:tabs>
      <w:snapToGrid w:val="0"/>
    </w:pPr>
    <w:rPr>
      <w:sz w:val="20"/>
      <w:szCs w:val="20"/>
    </w:rPr>
  </w:style>
  <w:style w:type="character" w:customStyle="1" w:styleId="a8">
    <w:name w:val="頁尾 字元"/>
    <w:basedOn w:val="a0"/>
    <w:link w:val="a7"/>
    <w:uiPriority w:val="99"/>
    <w:rsid w:val="007271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5977">
      <w:bodyDiv w:val="1"/>
      <w:marLeft w:val="0"/>
      <w:marRight w:val="0"/>
      <w:marTop w:val="0"/>
      <w:marBottom w:val="0"/>
      <w:divBdr>
        <w:top w:val="none" w:sz="0" w:space="0" w:color="auto"/>
        <w:left w:val="none" w:sz="0" w:space="0" w:color="auto"/>
        <w:bottom w:val="none" w:sz="0" w:space="0" w:color="auto"/>
        <w:right w:val="none" w:sz="0" w:space="0" w:color="auto"/>
      </w:divBdr>
    </w:div>
    <w:div w:id="8591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C14F-F802-48DE-B429-E103073E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341</Words>
  <Characters>1949</Characters>
  <Application>Microsoft Office Word</Application>
  <DocSecurity>0</DocSecurity>
  <Lines>16</Lines>
  <Paragraphs>4</Paragraphs>
  <ScaleCrop>false</ScaleCrop>
  <Company>Your Company Name</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Windows 使用者</cp:lastModifiedBy>
  <cp:revision>15</cp:revision>
  <dcterms:created xsi:type="dcterms:W3CDTF">2017-06-29T05:57:00Z</dcterms:created>
  <dcterms:modified xsi:type="dcterms:W3CDTF">2018-04-03T02:04:00Z</dcterms:modified>
</cp:coreProperties>
</file>